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A6" w:rsidRPr="00422EFE" w:rsidRDefault="00EC47AE" w:rsidP="00422E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EFE">
        <w:rPr>
          <w:rFonts w:ascii="Times New Roman" w:hAnsi="Times New Roman" w:cs="Times New Roman"/>
          <w:b/>
          <w:sz w:val="40"/>
          <w:szCs w:val="40"/>
        </w:rPr>
        <w:t>Veiklos tyrimas „Mokinių ugdymo rezultatai“</w:t>
      </w:r>
    </w:p>
    <w:p w:rsidR="00EC47AE" w:rsidRPr="007F00DF" w:rsidRDefault="00EC47AE">
      <w:pPr>
        <w:rPr>
          <w:rFonts w:ascii="Times New Roman" w:hAnsi="Times New Roman" w:cs="Times New Roman"/>
          <w:sz w:val="24"/>
          <w:szCs w:val="24"/>
        </w:rPr>
      </w:pPr>
      <w:r w:rsidRPr="003D684C">
        <w:rPr>
          <w:rFonts w:ascii="Times New Roman" w:hAnsi="Times New Roman" w:cs="Times New Roman"/>
          <w:b/>
          <w:sz w:val="24"/>
          <w:szCs w:val="24"/>
        </w:rPr>
        <w:t>Tyrimo tikslas:</w:t>
      </w:r>
      <w:r w:rsidR="003D6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0DF" w:rsidRPr="007F00DF">
        <w:rPr>
          <w:rFonts w:ascii="Times New Roman" w:hAnsi="Times New Roman" w:cs="Times New Roman"/>
          <w:sz w:val="24"/>
          <w:szCs w:val="24"/>
        </w:rPr>
        <w:t>Įvertinti, kokią įtaką mokinių ugdymo rezultatams daro 2016 m. progimnazijos veiklos plane numatytos priemonės</w:t>
      </w:r>
      <w:r w:rsidR="007F00DF">
        <w:rPr>
          <w:rFonts w:ascii="Times New Roman" w:hAnsi="Times New Roman" w:cs="Times New Roman"/>
          <w:sz w:val="24"/>
          <w:szCs w:val="24"/>
        </w:rPr>
        <w:t>.</w:t>
      </w:r>
    </w:p>
    <w:p w:rsidR="003D684C" w:rsidRPr="003D684C" w:rsidRDefault="00EC47AE">
      <w:pPr>
        <w:rPr>
          <w:rFonts w:ascii="Times New Roman" w:hAnsi="Times New Roman" w:cs="Times New Roman"/>
          <w:b/>
          <w:sz w:val="24"/>
          <w:szCs w:val="24"/>
        </w:rPr>
      </w:pPr>
      <w:r w:rsidRPr="003D684C">
        <w:rPr>
          <w:rFonts w:ascii="Times New Roman" w:hAnsi="Times New Roman" w:cs="Times New Roman"/>
          <w:b/>
          <w:sz w:val="24"/>
          <w:szCs w:val="24"/>
        </w:rPr>
        <w:t xml:space="preserve">Tyrimo uždaviniai: </w:t>
      </w:r>
    </w:p>
    <w:p w:rsidR="003D684C" w:rsidRDefault="003D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Išsiaiškinti,  ar NVŠ veiklos tenkina mokinių saviraiškos poreikius.</w:t>
      </w:r>
    </w:p>
    <w:p w:rsidR="003D684C" w:rsidRDefault="003D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Išsiaiškinti pagalbos mokiniui naudingumą.</w:t>
      </w:r>
    </w:p>
    <w:p w:rsidR="007C1DA2" w:rsidRDefault="007C1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Išsiaiškinti gabių mokinių ugdymo veiksmingumą.</w:t>
      </w:r>
    </w:p>
    <w:p w:rsidR="00EC47AE" w:rsidRPr="00422EFE" w:rsidRDefault="00EC47AE">
      <w:pPr>
        <w:rPr>
          <w:rFonts w:ascii="Times New Roman" w:hAnsi="Times New Roman" w:cs="Times New Roman"/>
          <w:sz w:val="24"/>
          <w:szCs w:val="24"/>
        </w:rPr>
      </w:pPr>
      <w:r w:rsidRPr="003D684C">
        <w:rPr>
          <w:rFonts w:ascii="Times New Roman" w:hAnsi="Times New Roman" w:cs="Times New Roman"/>
          <w:b/>
          <w:sz w:val="24"/>
          <w:szCs w:val="24"/>
        </w:rPr>
        <w:t>Tyrimo metodai, šaltiniai</w:t>
      </w:r>
      <w:r w:rsidR="00323642" w:rsidRPr="003D684C">
        <w:rPr>
          <w:rFonts w:ascii="Times New Roman" w:hAnsi="Times New Roman" w:cs="Times New Roman"/>
          <w:b/>
          <w:sz w:val="24"/>
          <w:szCs w:val="24"/>
        </w:rPr>
        <w:t>:</w:t>
      </w:r>
      <w:r w:rsidR="00323642">
        <w:rPr>
          <w:rFonts w:ascii="Times New Roman" w:hAnsi="Times New Roman" w:cs="Times New Roman"/>
          <w:sz w:val="24"/>
          <w:szCs w:val="24"/>
        </w:rPr>
        <w:t xml:space="preserve"> apklaus</w:t>
      </w:r>
      <w:r w:rsidR="003D684C">
        <w:rPr>
          <w:rFonts w:ascii="Times New Roman" w:hAnsi="Times New Roman" w:cs="Times New Roman"/>
          <w:sz w:val="24"/>
          <w:szCs w:val="24"/>
        </w:rPr>
        <w:t>os</w:t>
      </w:r>
      <w:r w:rsidR="00323642">
        <w:rPr>
          <w:rFonts w:ascii="Times New Roman" w:hAnsi="Times New Roman" w:cs="Times New Roman"/>
          <w:sz w:val="24"/>
          <w:szCs w:val="24"/>
        </w:rPr>
        <w:t xml:space="preserve">, </w:t>
      </w:r>
      <w:r w:rsidR="003D684C">
        <w:rPr>
          <w:rFonts w:ascii="Times New Roman" w:hAnsi="Times New Roman" w:cs="Times New Roman"/>
          <w:sz w:val="24"/>
          <w:szCs w:val="24"/>
        </w:rPr>
        <w:t>pamokų ruošos centrų mokinių  lankomumo registracijos žurnalai, VGK dokumentai, UP</w:t>
      </w:r>
      <w:r w:rsidR="006B2933">
        <w:rPr>
          <w:rFonts w:ascii="Times New Roman" w:hAnsi="Times New Roman" w:cs="Times New Roman"/>
          <w:sz w:val="24"/>
          <w:szCs w:val="24"/>
        </w:rPr>
        <w:t>, mokytojų, klasių vadovų ataskaitos.</w:t>
      </w:r>
    </w:p>
    <w:p w:rsidR="00EC47AE" w:rsidRPr="00422EFE" w:rsidRDefault="00EC47AE">
      <w:pPr>
        <w:rPr>
          <w:rFonts w:ascii="Times New Roman" w:hAnsi="Times New Roman" w:cs="Times New Roman"/>
          <w:sz w:val="24"/>
          <w:szCs w:val="24"/>
        </w:rPr>
      </w:pPr>
      <w:r w:rsidRPr="00422EFE">
        <w:rPr>
          <w:rFonts w:ascii="Times New Roman" w:hAnsi="Times New Roman" w:cs="Times New Roman"/>
          <w:sz w:val="24"/>
          <w:szCs w:val="24"/>
        </w:rPr>
        <w:t>Tyrimą atliko</w:t>
      </w:r>
      <w:r w:rsidR="003D684C">
        <w:rPr>
          <w:rFonts w:ascii="Times New Roman" w:hAnsi="Times New Roman" w:cs="Times New Roman"/>
          <w:sz w:val="24"/>
          <w:szCs w:val="24"/>
        </w:rPr>
        <w:t xml:space="preserve">  Dalia Gudienė, direktoriaus pavaduotoja ugdymui</w:t>
      </w:r>
    </w:p>
    <w:p w:rsidR="00EC47AE" w:rsidRPr="00422EFE" w:rsidRDefault="00EC47AE" w:rsidP="00422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EFE">
        <w:rPr>
          <w:rFonts w:ascii="Times New Roman" w:hAnsi="Times New Roman" w:cs="Times New Roman"/>
          <w:sz w:val="24"/>
          <w:szCs w:val="24"/>
        </w:rPr>
        <w:t>TYRIMO DUOMENŲ ANALIZĖ</w:t>
      </w:r>
    </w:p>
    <w:p w:rsidR="00EC47AE" w:rsidRPr="00422EFE" w:rsidRDefault="000D3645" w:rsidP="00EC47A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Neformaliojo švietimo poreikių tenkinimas. </w:t>
      </w:r>
    </w:p>
    <w:tbl>
      <w:tblPr>
        <w:tblW w:w="10740" w:type="dxa"/>
        <w:tblInd w:w="-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12"/>
        <w:gridCol w:w="829"/>
        <w:gridCol w:w="6780"/>
        <w:gridCol w:w="1871"/>
      </w:tblGrid>
      <w:tr w:rsidR="00EC47AE" w:rsidRPr="00EC47AE" w:rsidTr="000D3645">
        <w:tc>
          <w:tcPr>
            <w:tcW w:w="548" w:type="dxa"/>
            <w:shd w:val="clear" w:color="auto" w:fill="F2F2F2"/>
          </w:tcPr>
          <w:p w:rsidR="00EC47AE" w:rsidRPr="00EC47AE" w:rsidRDefault="00EC47AE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Sri</w:t>
            </w:r>
          </w:p>
          <w:p w:rsidR="00EC47AE" w:rsidRPr="00EC47AE" w:rsidRDefault="00EC47AE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tis </w:t>
            </w:r>
          </w:p>
        </w:tc>
        <w:tc>
          <w:tcPr>
            <w:tcW w:w="712" w:type="dxa"/>
            <w:shd w:val="clear" w:color="auto" w:fill="F2F2F2"/>
          </w:tcPr>
          <w:p w:rsidR="00EC47AE" w:rsidRPr="00EC47AE" w:rsidRDefault="00EC47AE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</w:t>
            </w:r>
          </w:p>
          <w:p w:rsidR="00EC47AE" w:rsidRPr="00EC47AE" w:rsidRDefault="00EC47AE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mos 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F2F2F2"/>
          </w:tcPr>
          <w:p w:rsidR="00EC47AE" w:rsidRPr="00EC47AE" w:rsidRDefault="00EC47AE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Veiklos </w:t>
            </w:r>
          </w:p>
          <w:p w:rsidR="00EC47AE" w:rsidRPr="00EC47AE" w:rsidRDefault="00EC47AE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rodikliai</w:t>
            </w: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F2F2F2"/>
          </w:tcPr>
          <w:p w:rsidR="00EC47AE" w:rsidRPr="00EC47AE" w:rsidRDefault="00735C78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Požymis –</w:t>
            </w:r>
            <w:r w:rsidR="00EC47AE" w:rsidRPr="00422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gautas rezultatas</w:t>
            </w:r>
          </w:p>
        </w:tc>
        <w:tc>
          <w:tcPr>
            <w:tcW w:w="1871" w:type="dxa"/>
            <w:shd w:val="clear" w:color="auto" w:fill="F2F2F2"/>
          </w:tcPr>
          <w:p w:rsidR="00EC47AE" w:rsidRPr="00EC47AE" w:rsidRDefault="00735C78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Išvada –</w:t>
            </w:r>
            <w:bookmarkStart w:id="0" w:name="_GoBack"/>
            <w:bookmarkEnd w:id="0"/>
            <w:r w:rsidR="00EC47AE" w:rsidRPr="00422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pasiektas lygis</w:t>
            </w:r>
          </w:p>
        </w:tc>
      </w:tr>
      <w:tr w:rsidR="004F30A2" w:rsidRPr="00422EFE" w:rsidTr="000D3645">
        <w:tc>
          <w:tcPr>
            <w:tcW w:w="548" w:type="dxa"/>
            <w:vMerge w:val="restart"/>
            <w:shd w:val="clear" w:color="auto" w:fill="auto"/>
          </w:tcPr>
          <w:p w:rsidR="004F30A2" w:rsidRPr="00422EFE" w:rsidRDefault="004F30A2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4F30A2" w:rsidRPr="00422EFE" w:rsidRDefault="004F30A2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4F30A2" w:rsidRPr="00422EFE" w:rsidRDefault="004F30A2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  <w:r w:rsidRPr="00422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30A2" w:rsidRPr="00422EFE" w:rsidRDefault="004F30A2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F30A2" w:rsidRPr="00422EFE" w:rsidRDefault="004F30A2" w:rsidP="00A76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2.3.2.</w:t>
            </w:r>
          </w:p>
          <w:p w:rsidR="004F30A2" w:rsidRPr="00422EFE" w:rsidRDefault="004F30A2" w:rsidP="00B57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auto"/>
          </w:tcPr>
          <w:p w:rsidR="004F30A2" w:rsidRPr="00422EFE" w:rsidRDefault="004F30A2" w:rsidP="00E06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 proc. pradinių klasių mokinių tėvų mano, kad mokyklos siūlomi būreliai tenkina jų vaikų saviraiškos poreikius.</w:t>
            </w:r>
          </w:p>
        </w:tc>
        <w:tc>
          <w:tcPr>
            <w:tcW w:w="1871" w:type="dxa"/>
            <w:shd w:val="clear" w:color="auto" w:fill="auto"/>
          </w:tcPr>
          <w:p w:rsidR="004F30A2" w:rsidRPr="00422EFE" w:rsidRDefault="004F30A2" w:rsidP="000D3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2 </w:t>
            </w:r>
            <w:r w:rsidRPr="00422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lygis</w:t>
            </w:r>
          </w:p>
        </w:tc>
      </w:tr>
      <w:tr w:rsidR="004F30A2" w:rsidRPr="00422EFE" w:rsidTr="000D3645">
        <w:tc>
          <w:tcPr>
            <w:tcW w:w="548" w:type="dxa"/>
            <w:vMerge/>
            <w:shd w:val="clear" w:color="auto" w:fill="auto"/>
          </w:tcPr>
          <w:p w:rsidR="004F30A2" w:rsidRPr="00422EFE" w:rsidRDefault="004F30A2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4F30A2" w:rsidRPr="00422EFE" w:rsidRDefault="004F30A2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0A2" w:rsidRPr="00422EFE" w:rsidRDefault="004F30A2" w:rsidP="00B57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auto"/>
          </w:tcPr>
          <w:p w:rsidR="004F30A2" w:rsidRPr="000D3645" w:rsidRDefault="004F30A2" w:rsidP="000D3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48,9 proc. 5-8 klasių mokinių mano, kad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mokyklos siūlomi būreliai tenkina jų saviraiškos poreikius.</w:t>
            </w:r>
          </w:p>
        </w:tc>
        <w:tc>
          <w:tcPr>
            <w:tcW w:w="1871" w:type="dxa"/>
            <w:shd w:val="clear" w:color="auto" w:fill="auto"/>
          </w:tcPr>
          <w:p w:rsidR="004F30A2" w:rsidRPr="00422EFE" w:rsidRDefault="004F30A2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22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lygis</w:t>
            </w:r>
          </w:p>
        </w:tc>
      </w:tr>
      <w:tr w:rsidR="004F30A2" w:rsidRPr="00422EFE" w:rsidTr="000D3645">
        <w:tc>
          <w:tcPr>
            <w:tcW w:w="548" w:type="dxa"/>
            <w:vMerge/>
            <w:shd w:val="clear" w:color="auto" w:fill="auto"/>
          </w:tcPr>
          <w:p w:rsidR="004F30A2" w:rsidRPr="00422EFE" w:rsidRDefault="004F30A2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4F30A2" w:rsidRPr="00422EFE" w:rsidRDefault="004F30A2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0A2" w:rsidRPr="00422EFE" w:rsidRDefault="004F30A2" w:rsidP="00B57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auto"/>
          </w:tcPr>
          <w:p w:rsidR="004F30A2" w:rsidRPr="000D3645" w:rsidRDefault="004F30A2" w:rsidP="000D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Įsteigtos 5 naujos NVŠ veiklos pagal mokinių ir jų tėvų pageidavimus.</w:t>
            </w:r>
          </w:p>
        </w:tc>
        <w:tc>
          <w:tcPr>
            <w:tcW w:w="1871" w:type="dxa"/>
            <w:shd w:val="clear" w:color="auto" w:fill="auto"/>
          </w:tcPr>
          <w:p w:rsidR="004F30A2" w:rsidRPr="00422EFE" w:rsidRDefault="004F30A2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lygis</w:t>
            </w:r>
          </w:p>
        </w:tc>
      </w:tr>
      <w:tr w:rsidR="004F30A2" w:rsidRPr="00422EFE" w:rsidTr="000D3645">
        <w:tc>
          <w:tcPr>
            <w:tcW w:w="548" w:type="dxa"/>
            <w:vMerge/>
            <w:shd w:val="clear" w:color="auto" w:fill="auto"/>
          </w:tcPr>
          <w:p w:rsidR="004F30A2" w:rsidRDefault="004F30A2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4F30A2" w:rsidRDefault="004F30A2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0A2" w:rsidRDefault="004F30A2" w:rsidP="00B57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auto"/>
          </w:tcPr>
          <w:p w:rsidR="004F30A2" w:rsidRDefault="004F30A2" w:rsidP="008D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proc. mokinių tėvų sutinka, kad g</w:t>
            </w:r>
            <w:r w:rsidRPr="008D0E35">
              <w:rPr>
                <w:rFonts w:ascii="Times New Roman" w:hAnsi="Times New Roman" w:cs="Times New Roman"/>
                <w:sz w:val="24"/>
                <w:szCs w:val="24"/>
              </w:rPr>
              <w:t>reta įprastinių pamokų mokykloje organizuojama ir kitokia veikla (būreliai, šventės, meno renginiai, projektinės savaitės ir pan.).</w:t>
            </w:r>
          </w:p>
        </w:tc>
        <w:tc>
          <w:tcPr>
            <w:tcW w:w="1871" w:type="dxa"/>
            <w:shd w:val="clear" w:color="auto" w:fill="auto"/>
          </w:tcPr>
          <w:p w:rsidR="004F30A2" w:rsidRDefault="004F30A2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lygis</w:t>
            </w:r>
          </w:p>
        </w:tc>
      </w:tr>
      <w:tr w:rsidR="004F30A2" w:rsidRPr="00422EFE" w:rsidTr="000D3645">
        <w:tc>
          <w:tcPr>
            <w:tcW w:w="548" w:type="dxa"/>
            <w:vMerge/>
            <w:shd w:val="clear" w:color="auto" w:fill="auto"/>
          </w:tcPr>
          <w:p w:rsidR="004F30A2" w:rsidRDefault="004F30A2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4F30A2" w:rsidRDefault="004F30A2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0A2" w:rsidRDefault="004F30A2" w:rsidP="00B57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auto"/>
          </w:tcPr>
          <w:p w:rsidR="004F30A2" w:rsidRDefault="004F30A2" w:rsidP="00743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proc. mokinių  sutinka, kad g</w:t>
            </w:r>
            <w:r w:rsidRPr="008D0E35">
              <w:rPr>
                <w:rFonts w:ascii="Times New Roman" w:hAnsi="Times New Roman" w:cs="Times New Roman"/>
                <w:sz w:val="24"/>
                <w:szCs w:val="24"/>
              </w:rPr>
              <w:t>reta įprastinių pamokų mokykloje organizuojama ir kitokia veikla (būreliai, šventės, meno renginiai, projektinės savaitės ir pan.).</w:t>
            </w:r>
          </w:p>
        </w:tc>
        <w:tc>
          <w:tcPr>
            <w:tcW w:w="1871" w:type="dxa"/>
            <w:shd w:val="clear" w:color="auto" w:fill="auto"/>
          </w:tcPr>
          <w:p w:rsidR="004F30A2" w:rsidRDefault="004F30A2" w:rsidP="00EC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lygis</w:t>
            </w:r>
          </w:p>
        </w:tc>
      </w:tr>
    </w:tbl>
    <w:p w:rsidR="00EC47AE" w:rsidRPr="00422EFE" w:rsidRDefault="00EC47AE">
      <w:pPr>
        <w:rPr>
          <w:rFonts w:ascii="Times New Roman" w:hAnsi="Times New Roman" w:cs="Times New Roman"/>
          <w:sz w:val="24"/>
          <w:szCs w:val="24"/>
        </w:rPr>
      </w:pPr>
    </w:p>
    <w:p w:rsidR="00B57358" w:rsidRDefault="00B57358">
      <w:pPr>
        <w:rPr>
          <w:rFonts w:ascii="Times New Roman" w:hAnsi="Times New Roman" w:cs="Times New Roman"/>
          <w:sz w:val="24"/>
          <w:szCs w:val="24"/>
        </w:rPr>
      </w:pPr>
      <w:r w:rsidRPr="00422EFE">
        <w:rPr>
          <w:rFonts w:ascii="Times New Roman" w:hAnsi="Times New Roman" w:cs="Times New Roman"/>
          <w:sz w:val="24"/>
          <w:szCs w:val="24"/>
        </w:rPr>
        <w:t xml:space="preserve">Išvada: </w:t>
      </w:r>
      <w:r w:rsidR="000D3645">
        <w:rPr>
          <w:rFonts w:ascii="Times New Roman" w:hAnsi="Times New Roman" w:cs="Times New Roman"/>
          <w:sz w:val="24"/>
          <w:szCs w:val="24"/>
        </w:rPr>
        <w:t xml:space="preserve">neformaliojo švietimo poreikių tenkinimas </w:t>
      </w:r>
      <w:r w:rsidRPr="007E30A9">
        <w:rPr>
          <w:rFonts w:ascii="Times New Roman" w:hAnsi="Times New Roman" w:cs="Times New Roman"/>
          <w:sz w:val="24"/>
          <w:szCs w:val="24"/>
        </w:rPr>
        <w:t xml:space="preserve">vertinamas </w:t>
      </w:r>
      <w:r w:rsidR="008D0E35" w:rsidRPr="007E30A9">
        <w:rPr>
          <w:rFonts w:ascii="Times New Roman" w:hAnsi="Times New Roman" w:cs="Times New Roman"/>
          <w:sz w:val="24"/>
          <w:szCs w:val="24"/>
        </w:rPr>
        <w:t>3</w:t>
      </w:r>
      <w:r w:rsidRPr="007E30A9">
        <w:rPr>
          <w:rFonts w:ascii="Times New Roman" w:hAnsi="Times New Roman" w:cs="Times New Roman"/>
          <w:sz w:val="24"/>
          <w:szCs w:val="24"/>
        </w:rPr>
        <w:t xml:space="preserve"> lygiu</w:t>
      </w:r>
    </w:p>
    <w:p w:rsidR="00B57358" w:rsidRPr="00422EFE" w:rsidRDefault="000D3645" w:rsidP="00B5735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Pagalbos mokiniui naudingumas. </w:t>
      </w:r>
    </w:p>
    <w:tbl>
      <w:tblPr>
        <w:tblW w:w="0" w:type="auto"/>
        <w:tblInd w:w="-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12"/>
        <w:gridCol w:w="829"/>
        <w:gridCol w:w="6780"/>
        <w:gridCol w:w="1871"/>
      </w:tblGrid>
      <w:tr w:rsidR="00B57358" w:rsidRPr="00EC47AE" w:rsidTr="00775952">
        <w:tc>
          <w:tcPr>
            <w:tcW w:w="548" w:type="dxa"/>
            <w:shd w:val="clear" w:color="auto" w:fill="F2F2F2"/>
          </w:tcPr>
          <w:p w:rsidR="00B57358" w:rsidRPr="00EC47AE" w:rsidRDefault="00B57358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Sri</w:t>
            </w:r>
          </w:p>
          <w:p w:rsidR="00B57358" w:rsidRPr="00EC47AE" w:rsidRDefault="00B57358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tis </w:t>
            </w:r>
          </w:p>
        </w:tc>
        <w:tc>
          <w:tcPr>
            <w:tcW w:w="712" w:type="dxa"/>
            <w:shd w:val="clear" w:color="auto" w:fill="F2F2F2"/>
          </w:tcPr>
          <w:p w:rsidR="00B57358" w:rsidRPr="00EC47AE" w:rsidRDefault="00B57358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</w:t>
            </w:r>
          </w:p>
          <w:p w:rsidR="00B57358" w:rsidRPr="00EC47AE" w:rsidRDefault="00B57358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mos 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F2F2F2"/>
          </w:tcPr>
          <w:p w:rsidR="00B57358" w:rsidRPr="00EC47AE" w:rsidRDefault="00B57358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Veiklos </w:t>
            </w:r>
          </w:p>
          <w:p w:rsidR="00B57358" w:rsidRPr="00EC47AE" w:rsidRDefault="00B57358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rodikliai</w:t>
            </w: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F2F2F2"/>
          </w:tcPr>
          <w:p w:rsidR="00B57358" w:rsidRPr="00EC47AE" w:rsidRDefault="00B57358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Požymis- gautas rezultatas</w:t>
            </w:r>
          </w:p>
        </w:tc>
        <w:tc>
          <w:tcPr>
            <w:tcW w:w="1871" w:type="dxa"/>
            <w:shd w:val="clear" w:color="auto" w:fill="F2F2F2"/>
          </w:tcPr>
          <w:p w:rsidR="00B57358" w:rsidRPr="00EC47AE" w:rsidRDefault="00B57358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Išvada- pasiektas lygis</w:t>
            </w:r>
          </w:p>
        </w:tc>
      </w:tr>
      <w:tr w:rsidR="00B57358" w:rsidRPr="00422EFE" w:rsidTr="00775952">
        <w:tc>
          <w:tcPr>
            <w:tcW w:w="548" w:type="dxa"/>
            <w:shd w:val="clear" w:color="auto" w:fill="auto"/>
          </w:tcPr>
          <w:p w:rsidR="00B57358" w:rsidRPr="00422EFE" w:rsidRDefault="000D3645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2" w:type="dxa"/>
            <w:shd w:val="clear" w:color="auto" w:fill="auto"/>
          </w:tcPr>
          <w:p w:rsidR="00B57358" w:rsidRPr="00422EFE" w:rsidRDefault="000D3645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B57358" w:rsidRPr="00422EFE" w:rsidRDefault="000D3645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auto"/>
          </w:tcPr>
          <w:p w:rsidR="00B57358" w:rsidRPr="000D3645" w:rsidRDefault="004E6346" w:rsidP="000021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0D3645" w:rsidRPr="000D3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proc. mokinių, turinčių specialiųjų ugdymosi poreikių, tėvų yra patenkinti jų vaikams suteikta pagalba</w:t>
            </w:r>
            <w:r w:rsidR="0000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(specialistų ir mokytojų)</w:t>
            </w:r>
            <w:r w:rsidR="00E06C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shd w:val="clear" w:color="auto" w:fill="auto"/>
          </w:tcPr>
          <w:p w:rsidR="00B57358" w:rsidRPr="00422EFE" w:rsidRDefault="000D3645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57358" w:rsidRPr="00422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lygis</w:t>
            </w:r>
          </w:p>
        </w:tc>
      </w:tr>
      <w:tr w:rsidR="00B57358" w:rsidRPr="00422EFE" w:rsidTr="00775952">
        <w:tc>
          <w:tcPr>
            <w:tcW w:w="548" w:type="dxa"/>
            <w:shd w:val="clear" w:color="auto" w:fill="auto"/>
          </w:tcPr>
          <w:p w:rsidR="00B57358" w:rsidRPr="00422EFE" w:rsidRDefault="00A76B70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2" w:type="dxa"/>
            <w:shd w:val="clear" w:color="auto" w:fill="auto"/>
          </w:tcPr>
          <w:p w:rsidR="00B57358" w:rsidRPr="00422EFE" w:rsidRDefault="00A76B70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B57358" w:rsidRPr="00422EFE" w:rsidRDefault="00A76B70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auto"/>
          </w:tcPr>
          <w:p w:rsidR="00B57358" w:rsidRPr="00E06C58" w:rsidRDefault="000D3645" w:rsidP="00775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C58">
              <w:rPr>
                <w:rFonts w:ascii="Times New Roman" w:eastAsia="Calibri" w:hAnsi="Times New Roman" w:cs="Times New Roman"/>
                <w:sz w:val="24"/>
                <w:szCs w:val="24"/>
              </w:rPr>
              <w:t>6 atvejais mokytojai vadova</w:t>
            </w:r>
            <w:r w:rsidR="00E06C58" w:rsidRPr="00E06C58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E06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damiesi </w:t>
            </w:r>
            <w:r w:rsidR="00E06C58" w:rsidRPr="00E06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Mokinių </w:t>
            </w:r>
            <w:r w:rsidRPr="00E06C58">
              <w:rPr>
                <w:rFonts w:ascii="Times New Roman" w:eastAsia="Calibri" w:hAnsi="Times New Roman" w:cs="Times New Roman"/>
                <w:sz w:val="24"/>
                <w:szCs w:val="24"/>
              </w:rPr>
              <w:t>specialiųjų ugdymosi poreikių išaiškinimo ir pagalbo</w:t>
            </w:r>
            <w:r w:rsidR="00E06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teikimo jiems sistema laiku </w:t>
            </w:r>
            <w:r w:rsidR="00E06C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</w:t>
            </w:r>
            <w:r w:rsidRPr="00E06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reipėsi į VGK dėl mokinių specialiųjų ugdymosi poreikių nustatymo. </w:t>
            </w:r>
          </w:p>
        </w:tc>
        <w:tc>
          <w:tcPr>
            <w:tcW w:w="1871" w:type="dxa"/>
            <w:shd w:val="clear" w:color="auto" w:fill="auto"/>
          </w:tcPr>
          <w:p w:rsidR="00B57358" w:rsidRPr="00422EFE" w:rsidRDefault="00E06C58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B57358" w:rsidRPr="00422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lygis</w:t>
            </w:r>
          </w:p>
        </w:tc>
      </w:tr>
      <w:tr w:rsidR="004F30A2" w:rsidRPr="00422EFE" w:rsidTr="00775952">
        <w:tc>
          <w:tcPr>
            <w:tcW w:w="548" w:type="dxa"/>
            <w:vMerge w:val="restart"/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auto"/>
          </w:tcPr>
          <w:p w:rsidR="004F30A2" w:rsidRPr="00A76B70" w:rsidRDefault="004F30A2" w:rsidP="0077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B70">
              <w:rPr>
                <w:rFonts w:ascii="Times New Roman" w:hAnsi="Times New Roman" w:cs="Times New Roman"/>
                <w:sz w:val="24"/>
                <w:szCs w:val="24"/>
              </w:rPr>
              <w:t>8 mokiniai, turintys specialiųjų ugdymosi poreikių, ruošė pamokas pamokų ruošos centre .</w:t>
            </w:r>
          </w:p>
        </w:tc>
        <w:tc>
          <w:tcPr>
            <w:tcW w:w="1871" w:type="dxa"/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lygis</w:t>
            </w:r>
          </w:p>
        </w:tc>
      </w:tr>
      <w:tr w:rsidR="004F30A2" w:rsidRPr="00422EFE" w:rsidTr="00775952">
        <w:tc>
          <w:tcPr>
            <w:tcW w:w="548" w:type="dxa"/>
            <w:vMerge/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auto"/>
          </w:tcPr>
          <w:p w:rsidR="004F30A2" w:rsidRPr="00A76B70" w:rsidRDefault="004F30A2" w:rsidP="00E06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B70">
              <w:rPr>
                <w:rFonts w:ascii="Times New Roman" w:hAnsi="Times New Roman" w:cs="Times New Roman"/>
                <w:sz w:val="24"/>
                <w:szCs w:val="24"/>
              </w:rPr>
              <w:t xml:space="preserve">2 mokiniai, turintys specialiųjų ugdymosi poreikių, naudojosi vyresniojo draugo pagalba ruošdami pamokas. </w:t>
            </w:r>
          </w:p>
        </w:tc>
        <w:tc>
          <w:tcPr>
            <w:tcW w:w="1871" w:type="dxa"/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lygis</w:t>
            </w:r>
          </w:p>
        </w:tc>
      </w:tr>
      <w:tr w:rsidR="004F30A2" w:rsidRPr="00422EFE" w:rsidTr="00775952">
        <w:tc>
          <w:tcPr>
            <w:tcW w:w="548" w:type="dxa"/>
            <w:vMerge/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auto"/>
          </w:tcPr>
          <w:p w:rsidR="004F30A2" w:rsidRPr="00422EFE" w:rsidRDefault="004F30A2" w:rsidP="0024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 proc. mokinių mano, kad konsultacijos padėjo jiems pasiekti geresnių mokymosi rezultatų</w:t>
            </w:r>
          </w:p>
        </w:tc>
        <w:tc>
          <w:tcPr>
            <w:tcW w:w="1871" w:type="dxa"/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lygis</w:t>
            </w:r>
          </w:p>
        </w:tc>
      </w:tr>
      <w:tr w:rsidR="004F30A2" w:rsidRPr="00422EFE" w:rsidTr="00775952">
        <w:tc>
          <w:tcPr>
            <w:tcW w:w="548" w:type="dxa"/>
            <w:vMerge/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auto"/>
          </w:tcPr>
          <w:p w:rsidR="004F30A2" w:rsidRDefault="004F30A2" w:rsidP="0024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89,94 proc. mokinių teigia, kad jiems buvo suteikta tinkama mokymosi pagalba</w:t>
            </w:r>
          </w:p>
        </w:tc>
        <w:tc>
          <w:tcPr>
            <w:tcW w:w="1871" w:type="dxa"/>
            <w:shd w:val="clear" w:color="auto" w:fill="auto"/>
          </w:tcPr>
          <w:p w:rsidR="004F30A2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lygis</w:t>
            </w:r>
          </w:p>
        </w:tc>
      </w:tr>
      <w:tr w:rsidR="004F30A2" w:rsidRPr="00422EFE" w:rsidTr="00775952">
        <w:tc>
          <w:tcPr>
            <w:tcW w:w="548" w:type="dxa"/>
            <w:vMerge/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0A2" w:rsidRPr="00422EFE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auto"/>
          </w:tcPr>
          <w:p w:rsidR="004F30A2" w:rsidRDefault="004F30A2" w:rsidP="00BF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mokiniai ruošė pamokas pamokų ruošos centre </w:t>
            </w:r>
          </w:p>
        </w:tc>
        <w:tc>
          <w:tcPr>
            <w:tcW w:w="1871" w:type="dxa"/>
            <w:shd w:val="clear" w:color="auto" w:fill="auto"/>
          </w:tcPr>
          <w:p w:rsidR="004F30A2" w:rsidRDefault="004F30A2" w:rsidP="00775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lygis</w:t>
            </w:r>
          </w:p>
        </w:tc>
      </w:tr>
    </w:tbl>
    <w:p w:rsidR="00BF1184" w:rsidRDefault="00BF1184" w:rsidP="00B5735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57358" w:rsidRPr="00422EFE" w:rsidRDefault="00B57358" w:rsidP="00B5735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422EFE">
        <w:rPr>
          <w:rFonts w:ascii="Times New Roman" w:hAnsi="Times New Roman" w:cs="Times New Roman"/>
          <w:sz w:val="24"/>
          <w:szCs w:val="24"/>
        </w:rPr>
        <w:t xml:space="preserve">Išvada: </w:t>
      </w:r>
      <w:r w:rsidR="00BF1184">
        <w:rPr>
          <w:rFonts w:ascii="Times New Roman" w:hAnsi="Times New Roman" w:cs="Times New Roman"/>
          <w:sz w:val="24"/>
          <w:szCs w:val="24"/>
        </w:rPr>
        <w:t xml:space="preserve">pagalbos mokiniui naudingumas </w:t>
      </w:r>
      <w:r w:rsidRPr="00422EFE">
        <w:rPr>
          <w:rFonts w:ascii="Times New Roman" w:hAnsi="Times New Roman" w:cs="Times New Roman"/>
          <w:sz w:val="24"/>
          <w:szCs w:val="24"/>
        </w:rPr>
        <w:t>vertinama</w:t>
      </w:r>
      <w:r w:rsidR="00BF1184">
        <w:rPr>
          <w:rFonts w:ascii="Times New Roman" w:hAnsi="Times New Roman" w:cs="Times New Roman"/>
          <w:sz w:val="24"/>
          <w:szCs w:val="24"/>
        </w:rPr>
        <w:t xml:space="preserve">s </w:t>
      </w:r>
      <w:r w:rsidR="00BF1184" w:rsidRPr="00A76B70">
        <w:rPr>
          <w:rFonts w:ascii="Times New Roman" w:hAnsi="Times New Roman" w:cs="Times New Roman"/>
          <w:b/>
          <w:sz w:val="24"/>
          <w:szCs w:val="24"/>
        </w:rPr>
        <w:t>3</w:t>
      </w:r>
      <w:r w:rsidRPr="00422EFE">
        <w:rPr>
          <w:rFonts w:ascii="Times New Roman" w:hAnsi="Times New Roman" w:cs="Times New Roman"/>
          <w:sz w:val="24"/>
          <w:szCs w:val="24"/>
        </w:rPr>
        <w:t xml:space="preserve"> lygiu</w:t>
      </w:r>
    </w:p>
    <w:p w:rsidR="00B57358" w:rsidRPr="00422EFE" w:rsidRDefault="00B57358" w:rsidP="00B57358">
      <w:pPr>
        <w:pStyle w:val="Sraopastraipa"/>
        <w:tabs>
          <w:tab w:val="left" w:pos="2582"/>
        </w:tabs>
        <w:rPr>
          <w:rFonts w:ascii="Times New Roman" w:hAnsi="Times New Roman" w:cs="Times New Roman"/>
          <w:sz w:val="24"/>
          <w:szCs w:val="24"/>
        </w:rPr>
      </w:pPr>
      <w:r w:rsidRPr="00422EFE">
        <w:rPr>
          <w:rFonts w:ascii="Times New Roman" w:hAnsi="Times New Roman" w:cs="Times New Roman"/>
          <w:sz w:val="24"/>
          <w:szCs w:val="24"/>
        </w:rPr>
        <w:tab/>
      </w:r>
    </w:p>
    <w:p w:rsidR="00B57358" w:rsidRDefault="00A86016" w:rsidP="00A8601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016">
        <w:rPr>
          <w:rFonts w:ascii="Times New Roman" w:hAnsi="Times New Roman" w:cs="Times New Roman"/>
          <w:sz w:val="24"/>
          <w:szCs w:val="24"/>
        </w:rPr>
        <w:t>Gabių mokinių ugdymo veiksmingumas.</w:t>
      </w:r>
    </w:p>
    <w:p w:rsidR="00A86016" w:rsidRDefault="00A86016" w:rsidP="00A8601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Ind w:w="-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12"/>
        <w:gridCol w:w="829"/>
        <w:gridCol w:w="6780"/>
        <w:gridCol w:w="1871"/>
      </w:tblGrid>
      <w:tr w:rsidR="00A86016" w:rsidRPr="00EC47AE" w:rsidTr="00926674">
        <w:tc>
          <w:tcPr>
            <w:tcW w:w="548" w:type="dxa"/>
            <w:shd w:val="clear" w:color="auto" w:fill="F2F2F2"/>
          </w:tcPr>
          <w:p w:rsidR="00A86016" w:rsidRPr="00EC47AE" w:rsidRDefault="00A86016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Sri</w:t>
            </w:r>
          </w:p>
          <w:p w:rsidR="00A86016" w:rsidRPr="00EC47AE" w:rsidRDefault="00A86016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tis </w:t>
            </w:r>
          </w:p>
        </w:tc>
        <w:tc>
          <w:tcPr>
            <w:tcW w:w="712" w:type="dxa"/>
            <w:shd w:val="clear" w:color="auto" w:fill="F2F2F2"/>
          </w:tcPr>
          <w:p w:rsidR="00A86016" w:rsidRPr="00EC47AE" w:rsidRDefault="00A86016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</w:t>
            </w:r>
          </w:p>
          <w:p w:rsidR="00A86016" w:rsidRPr="00EC47AE" w:rsidRDefault="00A86016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mos 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F2F2F2"/>
          </w:tcPr>
          <w:p w:rsidR="00A86016" w:rsidRPr="00EC47AE" w:rsidRDefault="00A86016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Veiklos </w:t>
            </w:r>
          </w:p>
          <w:p w:rsidR="00A86016" w:rsidRPr="00EC47AE" w:rsidRDefault="00A86016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rodikliai</w:t>
            </w: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F2F2F2"/>
          </w:tcPr>
          <w:p w:rsidR="00A86016" w:rsidRPr="00EC47AE" w:rsidRDefault="00A86016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Požymis- gautas rezultatas</w:t>
            </w:r>
          </w:p>
        </w:tc>
        <w:tc>
          <w:tcPr>
            <w:tcW w:w="1871" w:type="dxa"/>
            <w:shd w:val="clear" w:color="auto" w:fill="F2F2F2"/>
          </w:tcPr>
          <w:p w:rsidR="00A86016" w:rsidRPr="00EC47AE" w:rsidRDefault="00A86016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Išvada- pasiektas lygis</w:t>
            </w:r>
          </w:p>
        </w:tc>
      </w:tr>
      <w:tr w:rsidR="004F30A2" w:rsidRPr="00422EFE" w:rsidTr="00926674">
        <w:tc>
          <w:tcPr>
            <w:tcW w:w="548" w:type="dxa"/>
            <w:vMerge w:val="restart"/>
            <w:shd w:val="clear" w:color="auto" w:fill="auto"/>
          </w:tcPr>
          <w:p w:rsidR="004F30A2" w:rsidRPr="00422EFE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4F30A2" w:rsidRPr="00422EFE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F30A2" w:rsidRPr="00422EFE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auto"/>
          </w:tcPr>
          <w:p w:rsidR="004F30A2" w:rsidRPr="006B19D5" w:rsidRDefault="004F30A2" w:rsidP="00A86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6B1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55,7 proc. mokinių, dalyvauja bent viename miesto, šalies, tarptautiniame konkurse. </w:t>
            </w:r>
          </w:p>
          <w:p w:rsidR="004F30A2" w:rsidRPr="006B19D5" w:rsidRDefault="004F30A2" w:rsidP="0092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4F30A2" w:rsidRPr="00422EFE" w:rsidRDefault="004F30A2" w:rsidP="0092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lygis</w:t>
            </w:r>
          </w:p>
        </w:tc>
      </w:tr>
      <w:tr w:rsidR="004F30A2" w:rsidRPr="00422EFE" w:rsidTr="00926674">
        <w:tc>
          <w:tcPr>
            <w:tcW w:w="548" w:type="dxa"/>
            <w:vMerge/>
            <w:shd w:val="clear" w:color="auto" w:fill="auto"/>
          </w:tcPr>
          <w:p w:rsidR="004F30A2" w:rsidRPr="00422EFE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4F30A2" w:rsidRPr="00422EFE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0A2" w:rsidRPr="00422EFE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auto"/>
          </w:tcPr>
          <w:p w:rsidR="004F30A2" w:rsidRPr="006B19D5" w:rsidRDefault="004F30A2" w:rsidP="00A86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57,8 </w:t>
            </w:r>
            <w:r w:rsidRPr="006B19D5">
              <w:rPr>
                <w:rFonts w:ascii="Times New Roman" w:eastAsia="Calibri" w:hAnsi="Times New Roman" w:cs="Times New Roman"/>
                <w:sz w:val="24"/>
                <w:szCs w:val="24"/>
              </w:rPr>
              <w:t>proc. dalyvautų konkursų, olimpiadų, varžybų pavieniai mokiniai laimi prizines vietas.</w:t>
            </w:r>
          </w:p>
          <w:p w:rsidR="004F30A2" w:rsidRPr="006B19D5" w:rsidRDefault="004F30A2" w:rsidP="00A86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0A2" w:rsidRPr="006B19D5" w:rsidRDefault="004F30A2" w:rsidP="00A86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D5">
              <w:rPr>
                <w:rFonts w:ascii="Times New Roman" w:eastAsia="Calibri" w:hAnsi="Times New Roman" w:cs="Times New Roman"/>
                <w:sz w:val="24"/>
                <w:szCs w:val="24"/>
              </w:rPr>
              <w:t>69,4 proc. dalyvautų konkursų, olimpiadų, varžybų mokinių komandos laimi prizines vietas.</w:t>
            </w:r>
          </w:p>
        </w:tc>
        <w:tc>
          <w:tcPr>
            <w:tcW w:w="1871" w:type="dxa"/>
            <w:shd w:val="clear" w:color="auto" w:fill="auto"/>
          </w:tcPr>
          <w:p w:rsidR="004F30A2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lygis </w:t>
            </w:r>
          </w:p>
          <w:p w:rsidR="004F30A2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30A2" w:rsidRPr="00422EFE" w:rsidRDefault="004F30A2" w:rsidP="00A86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lygis </w:t>
            </w:r>
          </w:p>
        </w:tc>
      </w:tr>
      <w:tr w:rsidR="004F30A2" w:rsidRPr="00422EFE" w:rsidTr="00926674">
        <w:tc>
          <w:tcPr>
            <w:tcW w:w="548" w:type="dxa"/>
            <w:vMerge/>
            <w:shd w:val="clear" w:color="auto" w:fill="auto"/>
          </w:tcPr>
          <w:p w:rsidR="004F30A2" w:rsidRPr="00422EFE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4F30A2" w:rsidRPr="00422EFE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0A2" w:rsidRPr="00422EFE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auto"/>
          </w:tcPr>
          <w:p w:rsidR="004F30A2" w:rsidRPr="006B19D5" w:rsidRDefault="004F30A2" w:rsidP="0092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D5">
              <w:rPr>
                <w:rFonts w:ascii="Times New Roman" w:eastAsia="Calibri" w:hAnsi="Times New Roman" w:cs="Times New Roman"/>
                <w:sz w:val="24"/>
                <w:szCs w:val="24"/>
              </w:rPr>
              <w:t>85 proc. mokinių pritaria, kad mūsų mokykla žinoma kaip sėkminga - pasiekimai įvairiuose konkursuose, olimpiadose yra žinomi mieste, šalyje.</w:t>
            </w:r>
          </w:p>
          <w:p w:rsidR="004F30A2" w:rsidRPr="006B19D5" w:rsidRDefault="004F30A2" w:rsidP="0092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4F30A2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30A2" w:rsidRPr="00422EFE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lygis</w:t>
            </w:r>
          </w:p>
        </w:tc>
      </w:tr>
      <w:tr w:rsidR="004F30A2" w:rsidRPr="00422EFE" w:rsidTr="00926674">
        <w:tc>
          <w:tcPr>
            <w:tcW w:w="548" w:type="dxa"/>
            <w:vMerge/>
            <w:shd w:val="clear" w:color="auto" w:fill="auto"/>
          </w:tcPr>
          <w:p w:rsidR="004F30A2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4F30A2" w:rsidRPr="00422EFE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0A2" w:rsidRPr="00422EFE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left w:val="single" w:sz="4" w:space="0" w:color="auto"/>
            </w:tcBorders>
            <w:shd w:val="clear" w:color="auto" w:fill="auto"/>
          </w:tcPr>
          <w:p w:rsidR="004F30A2" w:rsidRPr="006B19D5" w:rsidRDefault="004F30A2" w:rsidP="00BD2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97 proc. mokinių tėvų teigia, kad mokykloje greta įprastinių pamokų organizuojama ir kitokia veikla (būreliai, šventės, meno renginiai ir kt.) </w:t>
            </w:r>
          </w:p>
        </w:tc>
        <w:tc>
          <w:tcPr>
            <w:tcW w:w="1871" w:type="dxa"/>
            <w:shd w:val="clear" w:color="auto" w:fill="auto"/>
          </w:tcPr>
          <w:p w:rsidR="004F30A2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30A2" w:rsidRDefault="004F30A2" w:rsidP="0092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lygis</w:t>
            </w:r>
          </w:p>
        </w:tc>
      </w:tr>
    </w:tbl>
    <w:p w:rsidR="00A86016" w:rsidRPr="00422EFE" w:rsidRDefault="00A86016" w:rsidP="00A8601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7C1DA2" w:rsidRPr="00596E35" w:rsidRDefault="007C1DA2" w:rsidP="007C1DA2">
      <w:pPr>
        <w:pStyle w:val="Sraopastraip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Išvada: Gabių mokinių ugdymo veiksmingumas vertinamas </w:t>
      </w:r>
      <w:r w:rsidR="007430E4" w:rsidRPr="007430E4">
        <w:rPr>
          <w:rFonts w:ascii="Times New Roman" w:hAnsi="Times New Roman" w:cs="Times New Roman"/>
          <w:sz w:val="24"/>
          <w:szCs w:val="24"/>
        </w:rPr>
        <w:t>2</w:t>
      </w:r>
      <w:r w:rsidRPr="007430E4">
        <w:rPr>
          <w:rFonts w:ascii="Times New Roman" w:hAnsi="Times New Roman" w:cs="Times New Roman"/>
          <w:sz w:val="24"/>
          <w:szCs w:val="24"/>
        </w:rPr>
        <w:t xml:space="preserve"> lygiu.</w:t>
      </w:r>
      <w:r w:rsidR="00596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358" w:rsidRDefault="00B57358" w:rsidP="00B5735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7C1DA2" w:rsidRPr="00422EFE" w:rsidRDefault="007C1DA2" w:rsidP="00B5735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4F30A2" w:rsidRDefault="004F30A2" w:rsidP="00B57358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4F30A2" w:rsidRDefault="004F30A2" w:rsidP="00B57358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4F30A2" w:rsidRDefault="004F30A2" w:rsidP="00B57358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4F30A2" w:rsidRDefault="004F30A2" w:rsidP="00B57358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4F30A2" w:rsidRDefault="004F30A2" w:rsidP="00B57358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4F30A2" w:rsidRDefault="004F30A2" w:rsidP="00B57358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4F30A2" w:rsidRDefault="004F30A2" w:rsidP="00B57358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4F30A2" w:rsidRDefault="004F30A2" w:rsidP="00B57358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4F30A2" w:rsidRDefault="004F30A2" w:rsidP="00B57358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B57358" w:rsidRPr="007C1DA2" w:rsidRDefault="00B57358" w:rsidP="00B57358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 w:rsidRPr="007C1DA2">
        <w:rPr>
          <w:rFonts w:ascii="Times New Roman" w:hAnsi="Times New Roman" w:cs="Times New Roman"/>
          <w:b/>
          <w:sz w:val="24"/>
          <w:szCs w:val="24"/>
        </w:rPr>
        <w:lastRenderedPageBreak/>
        <w:t>TYRIMO IŠVADOS:</w:t>
      </w:r>
    </w:p>
    <w:p w:rsidR="00B57358" w:rsidRPr="00422EFE" w:rsidRDefault="00B57358" w:rsidP="00B5735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F1184" w:rsidRDefault="008C32A7" w:rsidP="00BF1184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F1184" w:rsidRPr="00BF1184">
        <w:rPr>
          <w:rFonts w:ascii="Times New Roman" w:hAnsi="Times New Roman" w:cs="Times New Roman"/>
          <w:sz w:val="24"/>
          <w:szCs w:val="24"/>
        </w:rPr>
        <w:t xml:space="preserve">eformaliojo švietimo poreikių tenkinimas vertinamas </w:t>
      </w:r>
      <w:r w:rsidR="007430E4">
        <w:rPr>
          <w:rFonts w:ascii="Times New Roman" w:hAnsi="Times New Roman" w:cs="Times New Roman"/>
          <w:sz w:val="24"/>
          <w:szCs w:val="24"/>
        </w:rPr>
        <w:t>3</w:t>
      </w:r>
      <w:r w:rsidR="00BF1184" w:rsidRPr="00BF1184">
        <w:rPr>
          <w:rFonts w:ascii="Times New Roman" w:hAnsi="Times New Roman" w:cs="Times New Roman"/>
          <w:sz w:val="24"/>
          <w:szCs w:val="24"/>
        </w:rPr>
        <w:t xml:space="preserve"> lygiu</w:t>
      </w:r>
      <w:r w:rsidR="00BF11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184" w:rsidRDefault="008C32A7" w:rsidP="00BF1184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1184" w:rsidRPr="00BF1184">
        <w:rPr>
          <w:rFonts w:ascii="Times New Roman" w:hAnsi="Times New Roman" w:cs="Times New Roman"/>
          <w:sz w:val="24"/>
          <w:szCs w:val="24"/>
        </w:rPr>
        <w:t>agalbos mokiniui naudingumas vertinamas 3 lygiu</w:t>
      </w:r>
      <w:r w:rsidR="00BF1184">
        <w:rPr>
          <w:rFonts w:ascii="Times New Roman" w:hAnsi="Times New Roman" w:cs="Times New Roman"/>
          <w:sz w:val="24"/>
          <w:szCs w:val="24"/>
        </w:rPr>
        <w:t>.</w:t>
      </w:r>
    </w:p>
    <w:p w:rsidR="008C32A7" w:rsidRDefault="008C32A7" w:rsidP="00BF1184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Gabių mokinių ugdymo veiksmingumas vertinamas </w:t>
      </w:r>
      <w:r w:rsidR="007430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lygiu.</w:t>
      </w:r>
    </w:p>
    <w:p w:rsidR="00BF1184" w:rsidRDefault="00BF1184" w:rsidP="00BF118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57358" w:rsidRPr="00486D3F" w:rsidRDefault="00B57358" w:rsidP="00BF1184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 w:rsidRPr="00486D3F">
        <w:rPr>
          <w:rFonts w:ascii="Times New Roman" w:hAnsi="Times New Roman" w:cs="Times New Roman"/>
          <w:b/>
          <w:sz w:val="24"/>
          <w:szCs w:val="24"/>
        </w:rPr>
        <w:t>Didžiausi privalumai:</w:t>
      </w:r>
    </w:p>
    <w:p w:rsidR="007430E4" w:rsidRDefault="00BF1184" w:rsidP="00B40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7358" w:rsidRPr="00422EFE">
        <w:rPr>
          <w:rFonts w:ascii="Times New Roman" w:hAnsi="Times New Roman" w:cs="Times New Roman"/>
          <w:sz w:val="24"/>
          <w:szCs w:val="24"/>
        </w:rPr>
        <w:t xml:space="preserve"> </w:t>
      </w:r>
      <w:r w:rsidR="004335C7">
        <w:rPr>
          <w:rFonts w:ascii="Times New Roman" w:hAnsi="Times New Roman" w:cs="Times New Roman"/>
          <w:sz w:val="24"/>
          <w:szCs w:val="24"/>
        </w:rPr>
        <w:t xml:space="preserve"> </w:t>
      </w:r>
      <w:r w:rsidR="00A76B70">
        <w:rPr>
          <w:rFonts w:ascii="Times New Roman" w:hAnsi="Times New Roman" w:cs="Times New Roman"/>
          <w:sz w:val="24"/>
          <w:szCs w:val="24"/>
        </w:rPr>
        <w:t xml:space="preserve">2.3.1. </w:t>
      </w:r>
      <w:r w:rsidR="00433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Pamokų ruošos centrų veikla</w:t>
      </w:r>
      <w:r w:rsidR="007430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 m. I pusmetį</w:t>
      </w:r>
      <w:r w:rsidR="007430E4">
        <w:rPr>
          <w:rFonts w:ascii="Times New Roman" w:hAnsi="Times New Roman" w:cs="Times New Roman"/>
          <w:sz w:val="24"/>
          <w:szCs w:val="24"/>
        </w:rPr>
        <w:t xml:space="preserve"> pamokų ruošos centruose </w:t>
      </w:r>
      <w:r>
        <w:rPr>
          <w:rFonts w:ascii="Times New Roman" w:hAnsi="Times New Roman" w:cs="Times New Roman"/>
          <w:sz w:val="24"/>
          <w:szCs w:val="24"/>
        </w:rPr>
        <w:t xml:space="preserve"> ruošė pamokas </w:t>
      </w:r>
      <w:r w:rsidR="007430E4">
        <w:rPr>
          <w:rFonts w:ascii="Times New Roman" w:hAnsi="Times New Roman" w:cs="Times New Roman"/>
          <w:sz w:val="24"/>
          <w:szCs w:val="24"/>
        </w:rPr>
        <w:t>3</w:t>
      </w:r>
      <w:r w:rsidR="00B40F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mokiniai</w:t>
      </w:r>
      <w:r w:rsidR="007430E4">
        <w:rPr>
          <w:rFonts w:ascii="Times New Roman" w:hAnsi="Times New Roman" w:cs="Times New Roman"/>
          <w:sz w:val="24"/>
          <w:szCs w:val="24"/>
        </w:rPr>
        <w:t xml:space="preserve"> (iš jų </w:t>
      </w:r>
      <w:r>
        <w:rPr>
          <w:rFonts w:ascii="Times New Roman" w:hAnsi="Times New Roman" w:cs="Times New Roman"/>
          <w:sz w:val="24"/>
          <w:szCs w:val="24"/>
        </w:rPr>
        <w:t xml:space="preserve"> 8 mokiniai</w:t>
      </w:r>
      <w:r w:rsidR="007430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turintys specialiųjų ugdymosi poreikių</w:t>
      </w:r>
      <w:r w:rsidR="007430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30E4">
        <w:rPr>
          <w:rFonts w:ascii="Times New Roman" w:hAnsi="Times New Roman" w:cs="Times New Roman"/>
          <w:sz w:val="24"/>
          <w:szCs w:val="24"/>
        </w:rPr>
        <w:t>Šių centrų veikla tiek pradinių klasių, tiek vyresnių klasių mokiniams</w:t>
      </w:r>
      <w:r w:rsidR="00B40FE9">
        <w:rPr>
          <w:rFonts w:ascii="Times New Roman" w:hAnsi="Times New Roman" w:cs="Times New Roman"/>
          <w:sz w:val="24"/>
          <w:szCs w:val="24"/>
        </w:rPr>
        <w:t>, tiek mokiniams, turintiems specialiųjų ugdymosi poreikių</w:t>
      </w:r>
      <w:r w:rsidR="007430E4">
        <w:rPr>
          <w:rFonts w:ascii="Times New Roman" w:hAnsi="Times New Roman" w:cs="Times New Roman"/>
          <w:sz w:val="24"/>
          <w:szCs w:val="24"/>
        </w:rPr>
        <w:t xml:space="preserve"> buvo labai naudinga</w:t>
      </w:r>
      <w:r w:rsidR="00B40FE9">
        <w:rPr>
          <w:rFonts w:ascii="Times New Roman" w:hAnsi="Times New Roman" w:cs="Times New Roman"/>
          <w:sz w:val="24"/>
          <w:szCs w:val="24"/>
        </w:rPr>
        <w:t>: pamokų ruošos centre pamokas ruošė 28 mokiniai (iš jų 4 turintys specialiųjų ugdymosi poreikių)</w:t>
      </w:r>
      <w:r w:rsidR="002344CD">
        <w:rPr>
          <w:rFonts w:ascii="Times New Roman" w:hAnsi="Times New Roman" w:cs="Times New Roman"/>
          <w:sz w:val="24"/>
          <w:szCs w:val="24"/>
        </w:rPr>
        <w:t>; s</w:t>
      </w:r>
      <w:r w:rsidR="00B40FE9">
        <w:rPr>
          <w:rFonts w:ascii="Times New Roman" w:hAnsi="Times New Roman" w:cs="Times New Roman"/>
          <w:sz w:val="24"/>
          <w:szCs w:val="24"/>
        </w:rPr>
        <w:t xml:space="preserve">pecialiųjų ugdymosi poreikių mokinių pamokų ruošos centre pamokas ruošė dar 4 mokiniai (iš viso 8 mokiniai, turintys specialiųjų ugdymosi poreikių).  Buvo planuota, kad pamokų ruošos centrų paslaugomis naudosis </w:t>
      </w:r>
      <w:r w:rsidR="002344CD">
        <w:rPr>
          <w:rFonts w:ascii="Times New Roman" w:hAnsi="Times New Roman" w:cs="Times New Roman"/>
          <w:sz w:val="24"/>
          <w:szCs w:val="24"/>
        </w:rPr>
        <w:t xml:space="preserve">10-20 mokinių  ir   </w:t>
      </w:r>
      <w:r w:rsidR="00B40FE9">
        <w:rPr>
          <w:rFonts w:ascii="Times New Roman" w:hAnsi="Times New Roman" w:cs="Times New Roman"/>
          <w:sz w:val="24"/>
          <w:szCs w:val="24"/>
        </w:rPr>
        <w:t xml:space="preserve">1-7 mokiniai, turintys specialiųjų ugdymosi poreikių. </w:t>
      </w:r>
      <w:r w:rsidR="00743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184" w:rsidRDefault="00BF1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35C7">
        <w:rPr>
          <w:rFonts w:ascii="Times New Roman" w:hAnsi="Times New Roman" w:cs="Times New Roman"/>
          <w:sz w:val="24"/>
          <w:szCs w:val="24"/>
        </w:rPr>
        <w:t xml:space="preserve"> </w:t>
      </w:r>
      <w:r w:rsidR="00A76B70"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hAnsi="Times New Roman" w:cs="Times New Roman"/>
          <w:sz w:val="24"/>
          <w:szCs w:val="24"/>
        </w:rPr>
        <w:t>Pagalbos mokiniams, turintiems specialiųjų ugdymosi poreikių, naudingumas (mokytojų ir specialistų pagalba)</w:t>
      </w:r>
    </w:p>
    <w:p w:rsidR="00486D3F" w:rsidRDefault="00486D3F">
      <w:pPr>
        <w:rPr>
          <w:rFonts w:ascii="Times New Roman" w:hAnsi="Times New Roman" w:cs="Times New Roman"/>
          <w:sz w:val="24"/>
          <w:szCs w:val="24"/>
        </w:rPr>
      </w:pPr>
    </w:p>
    <w:p w:rsidR="00B57358" w:rsidRPr="00486D3F" w:rsidRDefault="00486D3F" w:rsidP="00486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35C7">
        <w:rPr>
          <w:rFonts w:ascii="Times New Roman" w:hAnsi="Times New Roman" w:cs="Times New Roman"/>
          <w:sz w:val="24"/>
          <w:szCs w:val="24"/>
        </w:rPr>
        <w:t xml:space="preserve">  </w:t>
      </w:r>
      <w:r w:rsidR="00B57358" w:rsidRPr="00486D3F">
        <w:rPr>
          <w:rFonts w:ascii="Times New Roman" w:hAnsi="Times New Roman" w:cs="Times New Roman"/>
          <w:b/>
          <w:sz w:val="24"/>
          <w:szCs w:val="24"/>
        </w:rPr>
        <w:t>Didžiausi trūkumai:</w:t>
      </w:r>
    </w:p>
    <w:p w:rsidR="00B57358" w:rsidRPr="00A76B70" w:rsidRDefault="007430E4" w:rsidP="007430E4">
      <w:pPr>
        <w:pStyle w:val="Sraopastraipa"/>
        <w:numPr>
          <w:ilvl w:val="2"/>
          <w:numId w:val="1"/>
        </w:numPr>
        <w:ind w:left="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2015-2016 m.m. </w:t>
      </w:r>
      <w:r w:rsidR="00BF1184" w:rsidRPr="00A76B70">
        <w:rPr>
          <w:rFonts w:ascii="Times New Roman" w:hAnsi="Times New Roman" w:cs="Times New Roman"/>
          <w:sz w:val="24"/>
          <w:szCs w:val="24"/>
        </w:rPr>
        <w:t xml:space="preserve">5-8 klasių mokiniams siūlomos NŠ veiklos nepakankami tenkina mokinių saviraiškos poreikius. </w:t>
      </w:r>
    </w:p>
    <w:p w:rsidR="00CF1DFD" w:rsidRDefault="00BF1184" w:rsidP="00B40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1DFD">
        <w:rPr>
          <w:rFonts w:ascii="Times New Roman" w:hAnsi="Times New Roman" w:cs="Times New Roman"/>
          <w:sz w:val="24"/>
          <w:szCs w:val="24"/>
        </w:rPr>
        <w:t xml:space="preserve">2.1.3. </w:t>
      </w:r>
      <w:r w:rsidR="00CF1DFD" w:rsidRPr="00F5654D">
        <w:rPr>
          <w:rFonts w:ascii="Times New Roman" w:hAnsi="Times New Roman" w:cs="Times New Roman"/>
          <w:sz w:val="24"/>
          <w:szCs w:val="24"/>
        </w:rPr>
        <w:t>Nepakankama konsultacijų nauda gabiems mokiniams</w:t>
      </w:r>
      <w:r w:rsidR="00F5654D" w:rsidRPr="00F5654D">
        <w:rPr>
          <w:rFonts w:ascii="Times New Roman" w:hAnsi="Times New Roman" w:cs="Times New Roman"/>
          <w:sz w:val="24"/>
          <w:szCs w:val="24"/>
        </w:rPr>
        <w:t xml:space="preserve">: nors didžioji dalis mokinių nurodė, kad jiems buvo naudingos mokytojų vedamos dalykų konsultacijos, jos padėjo pasiekti geresnių mokymosi rezultatų, </w:t>
      </w:r>
      <w:r w:rsidR="00CF1DFD" w:rsidRPr="00F5654D">
        <w:rPr>
          <w:rFonts w:ascii="Times New Roman" w:hAnsi="Times New Roman" w:cs="Times New Roman"/>
          <w:sz w:val="24"/>
          <w:szCs w:val="24"/>
        </w:rPr>
        <w:t xml:space="preserve"> </w:t>
      </w:r>
      <w:r w:rsidR="00F5654D" w:rsidRPr="00F5654D">
        <w:rPr>
          <w:rFonts w:ascii="Times New Roman" w:hAnsi="Times New Roman" w:cs="Times New Roman"/>
          <w:sz w:val="24"/>
          <w:szCs w:val="24"/>
        </w:rPr>
        <w:t xml:space="preserve">dalis </w:t>
      </w:r>
      <w:r w:rsidR="00CF1DFD" w:rsidRPr="00F5654D">
        <w:rPr>
          <w:rFonts w:ascii="Times New Roman" w:hAnsi="Times New Roman" w:cs="Times New Roman"/>
          <w:sz w:val="24"/>
          <w:szCs w:val="24"/>
        </w:rPr>
        <w:t>mokini</w:t>
      </w:r>
      <w:r w:rsidR="00F5654D" w:rsidRPr="00F5654D">
        <w:rPr>
          <w:rFonts w:ascii="Times New Roman" w:hAnsi="Times New Roman" w:cs="Times New Roman"/>
          <w:sz w:val="24"/>
          <w:szCs w:val="24"/>
        </w:rPr>
        <w:t>ų</w:t>
      </w:r>
      <w:r w:rsidR="00CF1DFD" w:rsidRPr="00F5654D">
        <w:rPr>
          <w:rFonts w:ascii="Times New Roman" w:hAnsi="Times New Roman" w:cs="Times New Roman"/>
          <w:sz w:val="24"/>
          <w:szCs w:val="24"/>
        </w:rPr>
        <w:t xml:space="preserve"> </w:t>
      </w:r>
      <w:r w:rsidR="00F5654D" w:rsidRPr="00F5654D">
        <w:rPr>
          <w:rFonts w:ascii="Times New Roman" w:hAnsi="Times New Roman" w:cs="Times New Roman"/>
          <w:sz w:val="24"/>
          <w:szCs w:val="24"/>
        </w:rPr>
        <w:t>nurodė,  kad konsultacijos jiems nebuvo naudingos.</w:t>
      </w:r>
      <w:r w:rsidR="00F5654D">
        <w:rPr>
          <w:rFonts w:ascii="Times New Roman" w:hAnsi="Times New Roman" w:cs="Times New Roman"/>
          <w:sz w:val="24"/>
          <w:szCs w:val="24"/>
        </w:rPr>
        <w:t xml:space="preserve"> Kad konsultacijos nebuvo naudingos teigė tie mokiniai, kurie </w:t>
      </w:r>
      <w:r w:rsidR="00CF1DFD" w:rsidRPr="00596E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654D" w:rsidRPr="00F5654D">
        <w:rPr>
          <w:rFonts w:ascii="Times New Roman" w:hAnsi="Times New Roman" w:cs="Times New Roman"/>
          <w:sz w:val="24"/>
          <w:szCs w:val="24"/>
        </w:rPr>
        <w:t xml:space="preserve">kituose anketos klausimuose nurodė,  </w:t>
      </w:r>
      <w:r w:rsidR="00F5654D">
        <w:rPr>
          <w:rFonts w:ascii="Times New Roman" w:hAnsi="Times New Roman" w:cs="Times New Roman"/>
          <w:sz w:val="24"/>
          <w:szCs w:val="24"/>
        </w:rPr>
        <w:t xml:space="preserve">kad jiems </w:t>
      </w:r>
      <w:r w:rsidR="00F5654D" w:rsidRPr="00F5654D">
        <w:rPr>
          <w:rFonts w:ascii="Times New Roman" w:hAnsi="Times New Roman" w:cs="Times New Roman"/>
          <w:sz w:val="24"/>
          <w:szCs w:val="24"/>
        </w:rPr>
        <w:t xml:space="preserve">nereikia pagalbos ruošiant pamokas, ir </w:t>
      </w:r>
      <w:r w:rsidR="00F5654D">
        <w:rPr>
          <w:rFonts w:ascii="Times New Roman" w:hAnsi="Times New Roman" w:cs="Times New Roman"/>
          <w:sz w:val="24"/>
          <w:szCs w:val="24"/>
        </w:rPr>
        <w:t>kad jie</w:t>
      </w:r>
      <w:r w:rsidR="00F5654D" w:rsidRPr="00F5654D">
        <w:rPr>
          <w:rFonts w:ascii="Times New Roman" w:hAnsi="Times New Roman" w:cs="Times New Roman"/>
          <w:sz w:val="24"/>
          <w:szCs w:val="24"/>
        </w:rPr>
        <w:t xml:space="preserve"> per pamokas pirmi atlieka užduotis</w:t>
      </w:r>
      <w:r w:rsidR="00F5654D">
        <w:rPr>
          <w:rFonts w:ascii="Times New Roman" w:hAnsi="Times New Roman" w:cs="Times New Roman"/>
          <w:sz w:val="24"/>
          <w:szCs w:val="24"/>
        </w:rPr>
        <w:t>. T</w:t>
      </w:r>
      <w:r w:rsidR="00F5654D" w:rsidRPr="00F5654D">
        <w:rPr>
          <w:rFonts w:ascii="Times New Roman" w:hAnsi="Times New Roman" w:cs="Times New Roman"/>
          <w:sz w:val="24"/>
          <w:szCs w:val="24"/>
        </w:rPr>
        <w:t>ikėtina, kad tai gabūs mokiniai</w:t>
      </w:r>
      <w:r w:rsidR="00F5654D">
        <w:rPr>
          <w:rFonts w:ascii="Times New Roman" w:hAnsi="Times New Roman" w:cs="Times New Roman"/>
          <w:sz w:val="24"/>
          <w:szCs w:val="24"/>
        </w:rPr>
        <w:t>.</w:t>
      </w:r>
    </w:p>
    <w:p w:rsidR="00CF1DFD" w:rsidRDefault="00CF1DFD">
      <w:pPr>
        <w:rPr>
          <w:rFonts w:ascii="Times New Roman" w:hAnsi="Times New Roman" w:cs="Times New Roman"/>
          <w:sz w:val="24"/>
          <w:szCs w:val="24"/>
        </w:rPr>
      </w:pPr>
    </w:p>
    <w:p w:rsidR="00422EFE" w:rsidRPr="00486D3F" w:rsidRDefault="00422EFE">
      <w:pPr>
        <w:rPr>
          <w:rFonts w:ascii="Times New Roman" w:hAnsi="Times New Roman" w:cs="Times New Roman"/>
          <w:b/>
          <w:sz w:val="24"/>
          <w:szCs w:val="24"/>
        </w:rPr>
      </w:pPr>
      <w:r w:rsidRPr="00486D3F">
        <w:rPr>
          <w:rFonts w:ascii="Times New Roman" w:hAnsi="Times New Roman" w:cs="Times New Roman"/>
          <w:b/>
          <w:sz w:val="24"/>
          <w:szCs w:val="24"/>
        </w:rPr>
        <w:t>Tobulintini veiklos aspektai:</w:t>
      </w:r>
      <w:r w:rsidR="00596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D3F" w:rsidRDefault="00BF1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654D">
        <w:rPr>
          <w:rFonts w:ascii="Times New Roman" w:hAnsi="Times New Roman" w:cs="Times New Roman"/>
          <w:sz w:val="24"/>
          <w:szCs w:val="24"/>
        </w:rPr>
        <w:t>1.</w:t>
      </w:r>
      <w:r w:rsidR="00CF1DFD">
        <w:rPr>
          <w:rFonts w:ascii="Times New Roman" w:hAnsi="Times New Roman" w:cs="Times New Roman"/>
          <w:sz w:val="24"/>
          <w:szCs w:val="24"/>
        </w:rPr>
        <w:t xml:space="preserve"> </w:t>
      </w:r>
      <w:r w:rsidR="007E30A9">
        <w:rPr>
          <w:rFonts w:ascii="Times New Roman" w:hAnsi="Times New Roman" w:cs="Times New Roman"/>
          <w:sz w:val="24"/>
          <w:szCs w:val="24"/>
        </w:rPr>
        <w:t xml:space="preserve">Gabių mokinių ugdymo veiksmingumas. </w:t>
      </w:r>
      <w:r w:rsidR="00F56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25" w:rsidRDefault="00AD3A25" w:rsidP="00A76B7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6B70">
        <w:rPr>
          <w:rFonts w:ascii="Times New Roman" w:hAnsi="Times New Roman" w:cs="Times New Roman"/>
          <w:sz w:val="24"/>
          <w:szCs w:val="24"/>
        </w:rPr>
        <w:t>2.</w:t>
      </w:r>
      <w:r w:rsidR="007E30A9">
        <w:rPr>
          <w:rFonts w:ascii="Times New Roman" w:hAnsi="Times New Roman" w:cs="Times New Roman"/>
          <w:sz w:val="24"/>
          <w:szCs w:val="24"/>
        </w:rPr>
        <w:t xml:space="preserve"> 5-8 klasių mokinių neformaliojo švietimo poreikių tenkinimas.  </w:t>
      </w:r>
    </w:p>
    <w:p w:rsidR="00486D3F" w:rsidRPr="00422EFE" w:rsidRDefault="0048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2EFE" w:rsidRPr="00422EFE" w:rsidRDefault="00422EFE">
      <w:pPr>
        <w:rPr>
          <w:rFonts w:ascii="Times New Roman" w:hAnsi="Times New Roman" w:cs="Times New Roman"/>
          <w:sz w:val="24"/>
          <w:szCs w:val="24"/>
        </w:rPr>
      </w:pPr>
    </w:p>
    <w:sectPr w:rsidR="00422EFE" w:rsidRPr="00422EFE" w:rsidSect="00A740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1A02"/>
    <w:multiLevelType w:val="multilevel"/>
    <w:tmpl w:val="92460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05"/>
    <w:rsid w:val="0000215B"/>
    <w:rsid w:val="000D3645"/>
    <w:rsid w:val="002344CD"/>
    <w:rsid w:val="00245400"/>
    <w:rsid w:val="002D39D3"/>
    <w:rsid w:val="00323642"/>
    <w:rsid w:val="003A19F1"/>
    <w:rsid w:val="003D4584"/>
    <w:rsid w:val="003D684C"/>
    <w:rsid w:val="004014FF"/>
    <w:rsid w:val="00422EFE"/>
    <w:rsid w:val="004335C7"/>
    <w:rsid w:val="00486D3F"/>
    <w:rsid w:val="004D15A9"/>
    <w:rsid w:val="004E6346"/>
    <w:rsid w:val="004F30A2"/>
    <w:rsid w:val="00540CA9"/>
    <w:rsid w:val="00583F26"/>
    <w:rsid w:val="00596E35"/>
    <w:rsid w:val="006B19D5"/>
    <w:rsid w:val="006B2933"/>
    <w:rsid w:val="00735C78"/>
    <w:rsid w:val="007430E4"/>
    <w:rsid w:val="007C1DA2"/>
    <w:rsid w:val="007E30A9"/>
    <w:rsid w:val="007F00DF"/>
    <w:rsid w:val="00866C59"/>
    <w:rsid w:val="008B7605"/>
    <w:rsid w:val="008C32A7"/>
    <w:rsid w:val="008D0E35"/>
    <w:rsid w:val="00A740F4"/>
    <w:rsid w:val="00A76B70"/>
    <w:rsid w:val="00A86016"/>
    <w:rsid w:val="00AD3A25"/>
    <w:rsid w:val="00B218A6"/>
    <w:rsid w:val="00B40FE9"/>
    <w:rsid w:val="00B57358"/>
    <w:rsid w:val="00BD2FD0"/>
    <w:rsid w:val="00BF1184"/>
    <w:rsid w:val="00C35B94"/>
    <w:rsid w:val="00CF1DFD"/>
    <w:rsid w:val="00D15A7C"/>
    <w:rsid w:val="00E06C58"/>
    <w:rsid w:val="00E26C91"/>
    <w:rsid w:val="00E47AC0"/>
    <w:rsid w:val="00EC47AE"/>
    <w:rsid w:val="00F5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601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47A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3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601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47A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3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3342</Words>
  <Characters>1906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Skaitykla</cp:lastModifiedBy>
  <cp:revision>4</cp:revision>
  <cp:lastPrinted>2016-12-08T06:16:00Z</cp:lastPrinted>
  <dcterms:created xsi:type="dcterms:W3CDTF">2016-12-07T10:51:00Z</dcterms:created>
  <dcterms:modified xsi:type="dcterms:W3CDTF">2017-01-09T14:14:00Z</dcterms:modified>
</cp:coreProperties>
</file>